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 w:before="0" w:after="0"/>
        <w:contextualSpacing/>
        <w:rPr>
          <w:rFonts w:ascii="Times New Roman" w:hAnsi="Times New Roman" w:eastAsia="Arial" w:cs="Times New Roman"/>
          <w:b/>
          <w:b/>
          <w:color w:val="auto"/>
          <w:sz w:val="18"/>
          <w:szCs w:val="18"/>
        </w:rPr>
      </w:pPr>
      <w:r>
        <w:rPr>
          <w:rFonts w:eastAsia="Arial" w:cs="Times New Roman" w:ascii="Times New Roman" w:hAnsi="Times New Roman"/>
          <w:b/>
          <w:color w:val="auto"/>
          <w:sz w:val="18"/>
          <w:szCs w:val="18"/>
        </w:rPr>
      </w:r>
    </w:p>
    <w:tbl>
      <w:tblPr>
        <w:tblStyle w:val="a1"/>
        <w:tblpPr w:vertAnchor="text" w:horzAnchor="text" w:leftFromText="180" w:rightFromText="180" w:tblpX="0" w:tblpY="1"/>
        <w:tblW w:w="48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3"/>
        <w:gridCol w:w="2873"/>
        <w:gridCol w:w="5035"/>
        <w:gridCol w:w="3674"/>
        <w:gridCol w:w="1720"/>
        <w:gridCol w:w="662"/>
      </w:tblGrid>
      <w:tr>
        <w:trPr>
          <w:trHeight w:val="530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Date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09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:00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AM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- 11: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AM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Slot (A)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: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45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AM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01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: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45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PM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Slot (B)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02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: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0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PM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- 4: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30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>PM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  <w:u w:val="single"/>
              </w:rPr>
              <w:t xml:space="preserve"> Slot (C)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Course Code &amp; Course Title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372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No. of Student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Total</w:t>
            </w:r>
          </w:p>
        </w:tc>
      </w:tr>
      <w:tr>
        <w:trPr>
          <w:trHeight w:val="70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16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Saturday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105:  Fundamentals of Ecology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81</w:t>
            </w:r>
          </w:p>
        </w:tc>
      </w:tr>
      <w:tr>
        <w:trPr>
          <w:trHeight w:val="70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ENG 101: Communicative English-1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64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ESDM 203: Environmental Resource Management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145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ECO 101:  Environmental Economics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64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201: </w:t>
            </w: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 Environmental Engineering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402:  Environmental Modeling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17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Sunday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104: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 Bangladesh-Physical Environment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83</w:t>
            </w:r>
          </w:p>
        </w:tc>
      </w:tr>
      <w:tr>
        <w:trPr>
          <w:trHeight w:val="147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BIO 101:  Environmental Biology with Lab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64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406: </w:t>
            </w: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 Gender and Environment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64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GIS 301:  Remote Sensing for Resource Appraisal with Lab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8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Monday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208:</w:t>
            </w: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 Fundamentals of Hydrosphere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08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73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133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102: </w:t>
            </w: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 Geography and Environment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183" w:hRule="atLeast"/>
        </w:trPr>
        <w:tc>
          <w:tcPr>
            <w:tcW w:w="10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305: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 Urban Environmental Issues and Planning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ENG 102: Communicative English-2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05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83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301: Environmental Pollution and Management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183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19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Tuesday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MATH 101: Basic Mathematics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87</w:t>
            </w:r>
          </w:p>
        </w:tc>
      </w:tr>
      <w:tr>
        <w:trPr>
          <w:trHeight w:val="217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ESDM 202:  Environmental Chemistry with Lab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217" w:hRule="atLeast"/>
        </w:trPr>
        <w:tc>
          <w:tcPr>
            <w:tcW w:w="10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 xml:space="preserve">ESDM 409: </w:t>
            </w: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 xml:space="preserve"> Landscape Simulation and Perception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217" w:hRule="atLeast"/>
        </w:trPr>
        <w:tc>
          <w:tcPr>
            <w:tcW w:w="10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ESDM 403: Research Methods (Project Design)</w:t>
            </w:r>
          </w:p>
        </w:tc>
        <w:tc>
          <w:tcPr>
            <w:tcW w:w="3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Wednesday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408:  Instrumental Methods for Environmental Analysis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</w:tr>
      <w:tr>
        <w:trPr>
          <w:trHeight w:val="70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GIS 201:  Remote Sensing and GIS with Lab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15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  <w:tr>
        <w:trPr>
          <w:trHeight w:val="196" w:hRule="atLeast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-0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-2022</w:t>
            </w:r>
          </w:p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Thursday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302:  Water Resources Planning &amp; Management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9</w:t>
            </w:r>
          </w:p>
        </w:tc>
      </w:tr>
      <w:tr>
        <w:trPr>
          <w:trHeight w:val="204" w:hRule="atLeast"/>
        </w:trPr>
        <w:tc>
          <w:tcPr>
            <w:tcW w:w="1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ESDM 206: Environmental Hazard and Disaster Management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2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</w:r>
          </w:p>
        </w:tc>
      </w:tr>
    </w:tbl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>------------------------------------------------</w:t>
        <w:tab/>
        <w:tab/>
        <w:tab/>
        <w:tab/>
        <w:tab/>
        <w:tab/>
        <w:tab/>
        <w:tab/>
        <w:tab/>
        <w:tab/>
        <w:tab/>
        <w:t>------------------------------------------------</w:t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 xml:space="preserve">Shah Md Tanvir Siddiquee, Chairman </w:t>
        <w:tab/>
        <w:tab/>
        <w:tab/>
        <w:tab/>
        <w:tab/>
        <w:tab/>
        <w:tab/>
        <w:tab/>
        <w:tab/>
        <w:tab/>
        <w:tab/>
        <w:tab/>
        <w:t>Md. Azharul Haque Chowdhury, Member</w:t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 xml:space="preserve">Examination Committee, </w:t>
        <w:tab/>
        <w:tab/>
        <w:tab/>
        <w:tab/>
        <w:tab/>
        <w:tab/>
        <w:tab/>
        <w:tab/>
        <w:tab/>
        <w:tab/>
        <w:tab/>
        <w:tab/>
        <w:tab/>
        <w:t>Examination Committee,</w:t>
      </w:r>
    </w:p>
    <w:p>
      <w:pPr>
        <w:pStyle w:val="Normal1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rFonts w:eastAsia="Times New Roman" w:cs="Times New Roman" w:ascii="Times New Roman" w:hAnsi="Times New Roman"/>
          <w:color w:val="auto"/>
          <w:sz w:val="18"/>
          <w:szCs w:val="18"/>
        </w:rPr>
        <w:t xml:space="preserve">Faculty of Science and Information Technology </w:t>
        <w:tab/>
        <w:tab/>
        <w:tab/>
        <w:tab/>
        <w:tab/>
        <w:tab/>
        <w:tab/>
        <w:tab/>
        <w:tab/>
        <w:tab/>
        <w:tab/>
        <w:t>Department of Environmental Science and Disaster Management</w:t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432" w:header="255" w:top="312" w:footer="720" w:bottom="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9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posOffset>4705350</wp:posOffset>
          </wp:positionH>
          <wp:positionV relativeFrom="paragraph">
            <wp:posOffset>76200</wp:posOffset>
          </wp:positionV>
          <wp:extent cx="466725" cy="457200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90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Normal1"/>
      <w:spacing w:lineRule="auto" w:line="240" w:before="90" w:after="0"/>
      <w:ind w:left="1440" w:firstLine="720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3" wp14:anchorId="2832ABEB">
              <wp:simplePos x="0" y="0"/>
              <wp:positionH relativeFrom="column">
                <wp:posOffset>8214360</wp:posOffset>
              </wp:positionH>
              <wp:positionV relativeFrom="paragraph">
                <wp:posOffset>156210</wp:posOffset>
              </wp:positionV>
              <wp:extent cx="1149985" cy="276860"/>
              <wp:effectExtent l="0" t="0" r="28575" b="28575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480" cy="276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30"/>
                              <w:szCs w:val="20"/>
                              <w:rFonts w:ascii="Times New Roman" w:hAnsi="Times New Roman"/>
                              <w:color w:val="000000"/>
                            </w:rPr>
                            <w:t>Version - 01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t" style="position:absolute;margin-left:646.8pt;margin-top:12.3pt;width:90.45pt;height:21.7pt;mso-wrap-style:square;v-text-anchor:top" wp14:anchorId="2832ABEB">
              <v:textbox>
                <w:txbxContent>
                  <w:p>
                    <w:pPr>
                      <w:overflowPunct w:val="false"/>
                      <w:spacing w:before="0" w:after="0" w:lineRule="auto" w:line="240"/>
                      <w:jc w:val="left"/>
                      <w:rPr/>
                    </w:pPr>
                    <w:r>
                      <w:rPr>
                        <w:sz w:val="30"/>
                        <w:szCs w:val="20"/>
                        <w:rFonts w:ascii="Times New Roman" w:hAnsi="Times New Roman"/>
                        <w:color w:val="000000"/>
                      </w:rPr>
                      <w:t>Version - 01</w:t>
                    </w:r>
                  </w:p>
                </w:txbxContent>
              </v:textbox>
              <v:fill o:detectmouseclick="t" type="solid" color2="black"/>
              <v:stroke color="black" weight="6480" joinstyle="round" endcap="flat"/>
              <w10:wrap type="none"/>
            </v:rect>
          </w:pict>
        </mc:Fallback>
      </mc:AlternateContent>
    </w:r>
  </w:p>
  <w:p>
    <w:pPr>
      <w:pStyle w:val="Normal1"/>
      <w:tabs>
        <w:tab w:val="clear" w:pos="720"/>
        <w:tab w:val="left" w:pos="9660" w:leader="none"/>
      </w:tabs>
      <w:spacing w:lineRule="auto" w:line="240" w:before="90" w:after="0"/>
      <w:ind w:left="5760" w:hanging="0"/>
      <w:rPr>
        <w:sz w:val="24"/>
        <w:szCs w:val="18"/>
      </w:rPr>
    </w:pPr>
    <w:r>
      <w:rPr>
        <w:rFonts w:eastAsia="Times New Roman" w:cs="Times New Roman" w:ascii="Times New Roman" w:hAnsi="Times New Roman"/>
        <w:sz w:val="24"/>
        <w:szCs w:val="18"/>
      </w:rPr>
      <w:t xml:space="preserve">        </w:t>
    </w:r>
    <w:r>
      <w:rPr>
        <w:rFonts w:eastAsia="Times New Roman" w:cs="Times New Roman" w:ascii="Times New Roman" w:hAnsi="Times New Roman"/>
        <w:sz w:val="24"/>
        <w:szCs w:val="18"/>
      </w:rPr>
      <w:t>Daffodil International University</w:t>
    </w:r>
  </w:p>
  <w:p>
    <w:pPr>
      <w:pStyle w:val="Normal1"/>
      <w:spacing w:lineRule="auto" w:line="240" w:before="0" w:after="0"/>
      <w:jc w:val="center"/>
      <w:rPr>
        <w:sz w:val="24"/>
        <w:szCs w:val="18"/>
      </w:rPr>
    </w:pPr>
    <w:r>
      <w:rPr>
        <w:rFonts w:eastAsia="Times New Roman" w:cs="Times New Roman" w:ascii="Times New Roman" w:hAnsi="Times New Roman"/>
        <w:sz w:val="24"/>
        <w:szCs w:val="18"/>
      </w:rPr>
      <w:t>Department of ESDM</w:t>
    </w:r>
  </w:p>
  <w:p>
    <w:pPr>
      <w:pStyle w:val="Normal1"/>
      <w:spacing w:lineRule="auto" w:line="240" w:before="0" w:after="0"/>
      <w:jc w:val="center"/>
      <w:rPr>
        <w:sz w:val="24"/>
        <w:szCs w:val="18"/>
      </w:rPr>
    </w:pPr>
    <w:r>
      <w:rPr>
        <w:rFonts w:eastAsia="Times New Roman" w:cs="Times New Roman" w:ascii="Times New Roman" w:hAnsi="Times New Roman"/>
        <w:sz w:val="24"/>
        <w:szCs w:val="18"/>
      </w:rPr>
      <w:t>Faculty of Science &amp; Information Technology (FSIT)</w:t>
    </w:r>
  </w:p>
  <w:p>
    <w:pPr>
      <w:pStyle w:val="Normal1"/>
      <w:spacing w:lineRule="auto" w:line="240" w:before="0" w:after="0"/>
      <w:jc w:val="center"/>
      <w:rPr>
        <w:sz w:val="24"/>
        <w:szCs w:val="18"/>
      </w:rPr>
    </w:pPr>
    <w:r>
      <w:rPr>
        <w:rFonts w:eastAsia="Times New Roman" w:cs="Times New Roman" w:ascii="Times New Roman" w:hAnsi="Times New Roman"/>
        <w:b/>
        <w:sz w:val="24"/>
        <w:szCs w:val="18"/>
      </w:rPr>
      <w:t>Final</w:t>
    </w:r>
    <w:r>
      <w:rPr>
        <w:rFonts w:eastAsia="Times New Roman" w:cs="Times New Roman" w:ascii="Times New Roman" w:hAnsi="Times New Roman"/>
        <w:b/>
        <w:sz w:val="24"/>
        <w:szCs w:val="18"/>
      </w:rPr>
      <w:t xml:space="preserve"> Examination Schedule, Spring 2022</w: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0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1"/>
    <w:next w:val="Normal1"/>
    <w:qFormat/>
    <w:rsid w:val="000e2a8b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0e2a8b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0e2a8b"/>
    <w:pPr>
      <w:spacing w:lineRule="auto" w:line="240" w:before="100" w:after="100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qFormat/>
    <w:rsid w:val="000e2a8b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0e2a8b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0e2a8b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366a4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66a4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customStyle="1">
    <w:name w:val="Normal1"/>
    <w:qFormat/>
    <w:rsid w:val="000e2a8b"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paragraph" w:styleId="Title">
    <w:name w:val="Title"/>
    <w:basedOn w:val="Normal1"/>
    <w:next w:val="Normal1"/>
    <w:qFormat/>
    <w:rsid w:val="000e2a8b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0e2a8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66a4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66a4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66a42"/>
    <w:pPr>
      <w:pBdr/>
      <w:spacing w:before="0" w:after="200"/>
      <w:ind w:left="720" w:hanging="0"/>
      <w:contextualSpacing/>
    </w:pPr>
    <w:rPr>
      <w:rFonts w:ascii="Calibri" w:hAnsi="Calibri" w:eastAsia="Calibri" w:cs="Vrinda" w:asciiTheme="minorHAnsi" w:cstheme="minorBidi" w:eastAsiaTheme="minorHAnsi" w:hAnsiTheme="minorHAnsi"/>
      <w:color w:val="auto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EasyOffice/7.1.2.2$Windows_X86_64 LibreOffice_project/bf4690972f643860cc2e32bd3cf659dd9eec9437</Application>
  <AppVersion>15.0000</AppVersion>
  <Pages>1</Pages>
  <Words>257</Words>
  <Characters>1557</Characters>
  <CharactersWithSpaces>1807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2022-02-26T09:33:00Z</dcterms:created>
  <dc:creator>AZHARUL ESDM</dc:creator>
  <dc:description/>
  <dc:language>en-US</dc:language>
  <cp:lastModifiedBy/>
  <dcterms:modified xsi:type="dcterms:W3CDTF">2022-04-06T20:17:51Z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