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7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 317</w:t>
              <w:tab/>
              <w:t xml:space="preserve">Control Systems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 123</w:t>
              <w:tab/>
              <w:t xml:space="preserve">Co-ordinate Geometry, Vector Analysis and Statistics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319</w:t>
              <w:tab/>
              <w:t xml:space="preserve">Electromagnetic Fields and Waves</w:t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0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13</w:t>
            </w:r>
          </w:p>
        </w:tc>
      </w:tr>
    </w:tbl>
    <w:p w:rsidR="00000000" w:rsidDel="00000000" w:rsidP="00000000" w:rsidRDefault="00000000" w:rsidRPr="00000000" w14:paraId="0000010D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1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1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9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1C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25/06/2022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xVS8ppev+dwEaL96cQGrtqXZg==">AMUW2mUZGiEO9HFBQmRK9q796zWEYGYeqsKbhIj1Zej+m+DGg8g2pb+TB2LphpqneR4WpK6BjPw7JBgVRL6FiR4FiKRykIxX8iJibTnGtz8dn7BVjeYnLP4Ij8h9hbAcD4oFFl9OKZ7Y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